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80" w:after="60"/>
      </w:pPr>
      <w:r>
        <w:rPr>
          <w:rFonts w:ascii="Aptos" w:hAnsi="Aptos"/>
          <w:b/>
          <w:i w:val="0"/>
          <w:color w:val="28B8C5"/>
          <w:sz w:val="22"/>
        </w:rPr>
        <w:t>FICHE TECHNIQUE</w:t>
      </w:r>
    </w:p>
    <w:p>
      <w:pPr>
        <w:spacing w:after="60"/>
      </w:pPr>
      <w:r>
        <w:rPr>
          <w:rFonts w:ascii="Aptos" w:hAnsi="Aptos"/>
          <w:b/>
          <w:i w:val="0"/>
          <w:color w:val="071B45"/>
          <w:sz w:val="54"/>
        </w:rPr>
        <w:t>BNYA Youth &amp; Deep Tech Space</w:t>
      </w:r>
    </w:p>
    <w:p>
      <w:pPr>
        <w:spacing w:after="200"/>
      </w:pPr>
      <w:r>
        <w:rPr>
          <w:rFonts w:ascii="Aptos" w:hAnsi="Aptos"/>
          <w:b/>
          <w:i w:val="0"/>
          <w:color w:val="28B8C5"/>
          <w:sz w:val="30"/>
        </w:rPr>
        <w:t>Un side event jeunesse, deep tech et transmission</w:t>
      </w:r>
    </w:p>
    <w:p>
      <w:r>
        <w:rPr>
          <w:rFonts w:ascii="Aptos" w:hAnsi="Aptos"/>
          <w:b/>
          <w:i w:val="0"/>
          <w:color w:val="14223D"/>
          <w:sz w:val="21"/>
        </w:rPr>
        <w:t>African Startup Conference · Alger · 5–7 décembre 2026</w:t>
      </w:r>
    </w:p>
    <w:p>
      <w:r>
        <w:rPr>
          <w:rFonts w:ascii="Aptos" w:hAnsi="Aptos"/>
          <w:b w:val="0"/>
          <w:i w:val="0"/>
          <w:color w:val="63728B"/>
          <w:sz w:val="20"/>
        </w:rPr>
        <w:t>Porté par KEYBOX × Young Creators</w:t>
      </w:r>
    </w:p>
    <w:p>
      <w:pPr>
        <w:spacing w:before="160" w:after="200"/>
        <w:jc w:val="center"/>
      </w:pPr>
      <w:r>
        <w:drawing>
          <wp:inline xmlns:a="http://schemas.openxmlformats.org/drawingml/2006/main" xmlns:pic="http://schemas.openxmlformats.org/drawingml/2006/picture">
            <wp:extent cx="6400800" cy="360236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ero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602364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EAF8F9"/>
            <w:tcBorders>
              <w:top w:val="single" w:sz="6" w:color="28B8C5"/>
              <w:left w:val="single" w:sz="6" w:color="28B8C5"/>
              <w:bottom w:val="single" w:sz="6" w:color="28B8C5"/>
              <w:right w:val="single" w:sz="6" w:color="28B8C5"/>
              <w:insideH w:val="single" w:sz="6" w:color="28B8C5"/>
              <w:insideV w:val="single" w:sz="6" w:color="28B8C5"/>
            </w:tcBorders>
            <w:tcMar>
              <w:top w:w="150" w:type="dxa"/>
              <w:start w:w="170" w:type="dxa"/>
              <w:bottom w:w="150" w:type="dxa"/>
              <w:end w:w="170" w:type="dxa"/>
            </w:tcMar>
          </w:tcPr>
          <w:p>
            <w:r>
              <w:rPr>
                <w:rFonts w:ascii="Aptos" w:hAnsi="Aptos"/>
                <w:b/>
                <w:i w:val="0"/>
                <w:color w:val="071B45"/>
                <w:sz w:val="21"/>
              </w:rPr>
              <w:t xml:space="preserve">Finalité  </w:t>
            </w:r>
            <w:r>
              <w:rPr>
                <w:rFonts w:ascii="Aptos" w:hAnsi="Aptos"/>
                <w:b w:val="0"/>
                <w:i w:val="0"/>
                <w:color w:val="14223D"/>
                <w:sz w:val="20"/>
              </w:rPr>
              <w:t>Faire de la jeunesse un public pleinement intégré à l’African Startup Conference, à travers des expériences pratiques, un parcours panafricain de projets et un dispositif de documentation et de valorisation.</w:t>
            </w:r>
          </w:p>
        </w:tc>
      </w:tr>
    </w:tbl>
    <w:p>
      <w:pPr>
        <w:spacing w:before="180" w:after="60"/>
      </w:pPr>
      <w:r>
        <w:rPr>
          <w:rFonts w:ascii="Aptos" w:hAnsi="Aptos"/>
          <w:b/>
          <w:i w:val="0"/>
          <w:color w:val="28B8C5"/>
          <w:sz w:val="20"/>
        </w:rPr>
        <w:t xml:space="preserve">01  </w:t>
      </w:r>
      <w:r>
        <w:rPr>
          <w:rFonts w:ascii="Aptos" w:hAnsi="Aptos"/>
          <w:b/>
          <w:i w:val="0"/>
          <w:color w:val="071B45"/>
          <w:sz w:val="36"/>
        </w:rPr>
        <w:t>Vue d’ensemble</w:t>
      </w:r>
    </w:p>
    <w:p>
      <w:pPr>
        <w:pStyle w:val="ListBullet"/>
        <w:spacing w:after="60"/>
        <w:ind w:left="259"/>
      </w:pPr>
      <w:r>
        <w:rPr>
          <w:rFonts w:ascii="Aptos" w:hAnsi="Aptos"/>
          <w:b w:val="0"/>
          <w:i w:val="0"/>
          <w:color w:val="14223D"/>
          <w:sz w:val="20"/>
        </w:rPr>
        <w:t>Un espace global pour les 6–22 ans, avec plusieurs niveaux d’engagement.</w:t>
      </w:r>
    </w:p>
    <w:p>
      <w:pPr>
        <w:pStyle w:val="ListBullet"/>
        <w:spacing w:after="60"/>
        <w:ind w:left="259"/>
      </w:pPr>
      <w:r>
        <w:rPr>
          <w:rFonts w:ascii="Aptos" w:hAnsi="Aptos"/>
          <w:b w:val="0"/>
          <w:i w:val="0"/>
          <w:color w:val="14223D"/>
          <w:sz w:val="20"/>
        </w:rPr>
        <w:t>Des ateliers pratiques et un espace d’exploration pour les 6–16 ans.</w:t>
      </w:r>
    </w:p>
    <w:p>
      <w:pPr>
        <w:pStyle w:val="ListBullet"/>
        <w:spacing w:after="60"/>
        <w:ind w:left="259"/>
      </w:pPr>
      <w:r>
        <w:rPr>
          <w:rFonts w:ascii="Aptos" w:hAnsi="Aptos"/>
          <w:b w:val="0"/>
          <w:i w:val="0"/>
          <w:color w:val="14223D"/>
          <w:sz w:val="20"/>
        </w:rPr>
        <w:t>Un BNYA African Lab - Deep Tech Journey pour les 12–16 ans et 17–22 ans.</w:t>
      </w:r>
    </w:p>
    <w:p>
      <w:pPr>
        <w:pStyle w:val="ListBullet"/>
        <w:spacing w:after="60"/>
        <w:ind w:left="259"/>
      </w:pPr>
      <w:r>
        <w:rPr>
          <w:rFonts w:ascii="Aptos" w:hAnsi="Aptos"/>
          <w:b w:val="0"/>
          <w:i w:val="0"/>
          <w:color w:val="14223D"/>
          <w:sz w:val="20"/>
        </w:rPr>
        <w:t>Un BNYA Studio pour documenter les projets, produire des interviews, reportages, Journaux BNYA et capsules éducatives.</w:t>
      </w:r>
    </w:p>
    <w:p>
      <w:pPr>
        <w:pStyle w:val="ListBullet"/>
        <w:spacing w:after="60"/>
        <w:ind w:left="259"/>
      </w:pPr>
      <w:r>
        <w:rPr>
          <w:rFonts w:ascii="Aptos" w:hAnsi="Aptos"/>
          <w:b w:val="0"/>
          <w:i w:val="0"/>
          <w:color w:val="14223D"/>
          <w:sz w:val="20"/>
        </w:rPr>
        <w:t>Une restitution finale orientée feedback, mise en relation et suites concrètes après l’événement.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071B45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Élément</w:t>
            </w:r>
          </w:p>
        </w:tc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071B45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Format</w:t>
            </w:r>
          </w:p>
        </w:tc>
      </w:tr>
      <w:tr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FFFFFF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23D"/>
                <w:sz w:val="18"/>
              </w:rPr>
              <w:t>Public global</w:t>
            </w:r>
          </w:p>
        </w:tc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FFFFFF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23D"/>
                <w:sz w:val="18"/>
              </w:rPr>
              <w:t>6–22 ans</w:t>
            </w:r>
          </w:p>
        </w:tc>
      </w:tr>
      <w:tr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F6FAFC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23D"/>
                <w:sz w:val="18"/>
              </w:rPr>
              <w:t>Dates</w:t>
            </w:r>
          </w:p>
        </w:tc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F6FAFC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23D"/>
                <w:sz w:val="18"/>
              </w:rPr>
              <w:t>5–7 décembre 2026</w:t>
            </w:r>
          </w:p>
        </w:tc>
      </w:tr>
      <w:tr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FFFFFF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23D"/>
                <w:sz w:val="18"/>
              </w:rPr>
              <w:t>Lieu</w:t>
            </w:r>
          </w:p>
        </w:tc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FFFFFF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23D"/>
                <w:sz w:val="18"/>
              </w:rPr>
              <w:t>Alger</w:t>
            </w:r>
          </w:p>
        </w:tc>
      </w:tr>
      <w:tr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F6FAFC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23D"/>
                <w:sz w:val="18"/>
              </w:rPr>
              <w:t>Ateliers jeunesse</w:t>
            </w:r>
          </w:p>
        </w:tc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F6FAFC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23D"/>
                <w:sz w:val="18"/>
              </w:rPr>
              <w:t>1 h minimum · 20 participants maximum</w:t>
            </w:r>
          </w:p>
        </w:tc>
      </w:tr>
      <w:tr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FFFFFF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23D"/>
                <w:sz w:val="18"/>
              </w:rPr>
              <w:t>BNYA African Lab</w:t>
            </w:r>
          </w:p>
        </w:tc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FFFFFF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23D"/>
                <w:sz w:val="18"/>
              </w:rPr>
              <w:t>11 équipes · 3 jeunes maximum par équipe</w:t>
            </w:r>
          </w:p>
        </w:tc>
      </w:tr>
      <w:tr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F6FAFC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23D"/>
                <w:sz w:val="18"/>
              </w:rPr>
              <w:t>Composition Lab</w:t>
            </w:r>
          </w:p>
        </w:tc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F6FAFC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23D"/>
                <w:sz w:val="18"/>
              </w:rPr>
              <w:t>5 équipes algériennes · 5 équipes africaines · 1 équipe de la diaspora algérienne</w:t>
            </w:r>
          </w:p>
        </w:tc>
      </w:tr>
      <w:tr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FFFFFF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23D"/>
                <w:sz w:val="18"/>
              </w:rPr>
              <w:t>Capacité Lab</w:t>
            </w:r>
          </w:p>
        </w:tc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FFFFFF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23D"/>
                <w:sz w:val="18"/>
              </w:rPr>
              <w:t>33 participants maximum</w:t>
            </w:r>
          </w:p>
        </w:tc>
      </w:tr>
    </w:tbl>
    <w:p>
      <w:r>
        <w:br w:type="page"/>
      </w:r>
    </w:p>
    <w:p>
      <w:pPr>
        <w:spacing w:before="180" w:after="60"/>
      </w:pPr>
      <w:r>
        <w:rPr>
          <w:rFonts w:ascii="Aptos" w:hAnsi="Aptos"/>
          <w:b/>
          <w:i w:val="0"/>
          <w:color w:val="28B8C5"/>
          <w:sz w:val="20"/>
        </w:rPr>
        <w:t xml:space="preserve">02  </w:t>
      </w:r>
      <w:r>
        <w:rPr>
          <w:rFonts w:ascii="Aptos" w:hAnsi="Aptos"/>
          <w:b/>
          <w:i w:val="0"/>
          <w:color w:val="071B45"/>
          <w:sz w:val="36"/>
        </w:rPr>
        <w:t>Discover &amp; Explore - 6 à 16 ans</w:t>
      </w:r>
    </w:p>
    <w:p>
      <w:pPr>
        <w:spacing w:after="160"/>
      </w:pPr>
      <w:r>
        <w:rPr>
          <w:rFonts w:ascii="Aptos" w:hAnsi="Aptos"/>
          <w:b w:val="0"/>
          <w:i w:val="0"/>
          <w:color w:val="63728B"/>
          <w:sz w:val="19"/>
        </w:rPr>
        <w:t>Une programmation pratique, flexible et accessible aux familles, écoles, associations et groupes de jeunes.</w:t>
      </w:r>
    </w:p>
    <w:p>
      <w:pPr>
        <w:pStyle w:val="ListBullet"/>
        <w:spacing w:after="60"/>
        <w:ind w:left="259"/>
      </w:pPr>
      <w:r>
        <w:rPr>
          <w:rFonts w:ascii="Aptos" w:hAnsi="Aptos"/>
          <w:b w:val="0"/>
          <w:i w:val="0"/>
          <w:color w:val="14223D"/>
          <w:sz w:val="20"/>
        </w:rPr>
        <w:t>Tranches d’ateliers : 6–8 ans, 9–11 ans et 12–16 ans.</w:t>
      </w:r>
    </w:p>
    <w:p>
      <w:pPr>
        <w:pStyle w:val="ListBullet"/>
        <w:spacing w:after="60"/>
        <w:ind w:left="259"/>
      </w:pPr>
      <w:r>
        <w:rPr>
          <w:rFonts w:ascii="Aptos" w:hAnsi="Aptos"/>
          <w:b w:val="0"/>
          <w:i w:val="0"/>
          <w:color w:val="14223D"/>
          <w:sz w:val="20"/>
        </w:rPr>
        <w:t>Horaires indicatifs : 10h00–16h00.</w:t>
      </w:r>
    </w:p>
    <w:p>
      <w:pPr>
        <w:pStyle w:val="ListBullet"/>
        <w:spacing w:after="60"/>
        <w:ind w:left="259"/>
      </w:pPr>
      <w:r>
        <w:rPr>
          <w:rFonts w:ascii="Aptos" w:hAnsi="Aptos"/>
          <w:b w:val="0"/>
          <w:i w:val="0"/>
          <w:color w:val="14223D"/>
          <w:sz w:val="20"/>
        </w:rPr>
        <w:t>Ateliers d’une heure minimum, avec 10 minutes de transition entre deux sessions.</w:t>
      </w:r>
    </w:p>
    <w:p>
      <w:pPr>
        <w:pStyle w:val="ListBullet"/>
        <w:spacing w:after="60"/>
        <w:ind w:left="259"/>
      </w:pPr>
      <w:r>
        <w:rPr>
          <w:rFonts w:ascii="Aptos" w:hAnsi="Aptos"/>
          <w:b w:val="0"/>
          <w:i w:val="0"/>
          <w:color w:val="14223D"/>
          <w:sz w:val="20"/>
        </w:rPr>
        <w:t>Formats : atelier unique, parcours de 3 ateliers, demi-journée ou journée.</w:t>
      </w:r>
    </w:p>
    <w:p>
      <w:pPr>
        <w:pStyle w:val="ListBullet"/>
        <w:spacing w:after="60"/>
        <w:ind w:left="259"/>
      </w:pPr>
      <w:r>
        <w:rPr>
          <w:rFonts w:ascii="Aptos" w:hAnsi="Aptos"/>
          <w:b w:val="0"/>
          <w:i w:val="0"/>
          <w:color w:val="14223D"/>
          <w:sz w:val="20"/>
        </w:rPr>
        <w:t>Travail en binômes ou petites équipes, selon l’activité et l’équipement.</w:t>
      </w:r>
    </w:p>
    <w:p>
      <w:pPr>
        <w:pStyle w:val="ListBullet"/>
        <w:spacing w:after="60"/>
        <w:ind w:left="259"/>
      </w:pPr>
      <w:r>
        <w:rPr>
          <w:rFonts w:ascii="Aptos" w:hAnsi="Aptos"/>
          <w:b w:val="0"/>
          <w:i w:val="0"/>
          <w:color w:val="14223D"/>
          <w:sz w:val="20"/>
        </w:rPr>
        <w:t>Chaque atelier part d’une mission et aboutit à une réalisation ou une trace concrète.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071B45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Univers</w:t>
            </w:r>
          </w:p>
        </w:tc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071B45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Exemples</w:t>
            </w:r>
          </w:p>
        </w:tc>
      </w:tr>
      <w:tr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FFFFFF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23D"/>
                <w:sz w:val="18"/>
              </w:rPr>
              <w:t>Code &amp; programmation</w:t>
            </w:r>
          </w:p>
        </w:tc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FFFFFF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23D"/>
                <w:sz w:val="18"/>
              </w:rPr>
              <w:t>Scratch, logique, mini-jeux</w:t>
            </w:r>
          </w:p>
        </w:tc>
      </w:tr>
      <w:tr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F6FAFC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23D"/>
                <w:sz w:val="18"/>
              </w:rPr>
              <w:t>Électronique &amp; objets</w:t>
            </w:r>
          </w:p>
        </w:tc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F6FAFC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23D"/>
                <w:sz w:val="18"/>
              </w:rPr>
              <w:t>Arduino, capteurs, montages</w:t>
            </w:r>
          </w:p>
        </w:tc>
      </w:tr>
      <w:tr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FFFFFF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23D"/>
                <w:sz w:val="18"/>
              </w:rPr>
              <w:t>Robotique</w:t>
            </w:r>
          </w:p>
        </w:tc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FFFFFF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23D"/>
                <w:sz w:val="18"/>
              </w:rPr>
              <w:t>Missions, mouvement, automatisation</w:t>
            </w:r>
          </w:p>
        </w:tc>
      </w:tr>
      <w:tr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F6FAFC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23D"/>
                <w:sz w:val="18"/>
              </w:rPr>
              <w:t>IA &amp; data</w:t>
            </w:r>
          </w:p>
        </w:tc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F6FAFC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23D"/>
                <w:sz w:val="18"/>
              </w:rPr>
              <w:t>Données, reconnaissance, usage responsable</w:t>
            </w:r>
          </w:p>
        </w:tc>
      </w:tr>
      <w:tr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FFFFFF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23D"/>
                <w:sz w:val="18"/>
              </w:rPr>
              <w:t>Énergie &amp; environnement</w:t>
            </w:r>
          </w:p>
        </w:tc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FFFFFF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23D"/>
                <w:sz w:val="18"/>
              </w:rPr>
              <w:t>Mesure, énergie, solutions durables</w:t>
            </w:r>
          </w:p>
        </w:tc>
      </w:tr>
      <w:tr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F6FAFC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23D"/>
                <w:sz w:val="18"/>
              </w:rPr>
              <w:t>Spatial &amp; fabrication</w:t>
            </w:r>
          </w:p>
        </w:tc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F6FAFC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23D"/>
                <w:sz w:val="18"/>
              </w:rPr>
              <w:t>Géodonnées, création numérique, prototypage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EAF8F9"/>
            <w:tcBorders>
              <w:top w:val="single" w:sz="6" w:color="28B8C5"/>
              <w:left w:val="single" w:sz="6" w:color="28B8C5"/>
              <w:bottom w:val="single" w:sz="6" w:color="28B8C5"/>
              <w:right w:val="single" w:sz="6" w:color="28B8C5"/>
              <w:insideH w:val="single" w:sz="6" w:color="28B8C5"/>
              <w:insideV w:val="single" w:sz="6" w:color="28B8C5"/>
            </w:tcBorders>
            <w:tcMar>
              <w:top w:w="150" w:type="dxa"/>
              <w:start w:w="170" w:type="dxa"/>
              <w:bottom w:w="150" w:type="dxa"/>
              <w:end w:w="170" w:type="dxa"/>
            </w:tcMar>
          </w:tcPr>
          <w:p>
            <w:r>
              <w:rPr>
                <w:rFonts w:ascii="Aptos" w:hAnsi="Aptos"/>
                <w:b/>
                <w:i w:val="0"/>
                <w:color w:val="071B45"/>
                <w:sz w:val="21"/>
              </w:rPr>
              <w:t xml:space="preserve">Principe pédagogique  </w:t>
            </w:r>
            <w:r>
              <w:rPr>
                <w:rFonts w:ascii="Aptos" w:hAnsi="Aptos"/>
                <w:b w:val="0"/>
                <w:i w:val="0"/>
                <w:color w:val="14223D"/>
                <w:sz w:val="20"/>
              </w:rPr>
              <w:t>Les technologies sont mobilisées comme des moyens pour comprendre, expérimenter et produire. L’objectif n’est pas de juxtaposer des cours disciplinaires, mais de proposer des missions concrètes adaptées à l’âge.</w:t>
            </w:r>
          </w:p>
        </w:tc>
      </w:tr>
    </w:tbl>
    <w:p>
      <w:pPr>
        <w:spacing w:before="180" w:after="60"/>
      </w:pPr>
      <w:r>
        <w:rPr>
          <w:rFonts w:ascii="Aptos" w:hAnsi="Aptos"/>
          <w:b/>
          <w:i w:val="0"/>
          <w:color w:val="28B8C5"/>
          <w:sz w:val="20"/>
        </w:rPr>
        <w:t xml:space="preserve">03  </w:t>
      </w:r>
      <w:r>
        <w:rPr>
          <w:rFonts w:ascii="Aptos" w:hAnsi="Aptos"/>
          <w:b/>
          <w:i w:val="0"/>
          <w:color w:val="071B45"/>
          <w:sz w:val="36"/>
        </w:rPr>
        <w:t>Le salon comme terrain d’apprentissage</w:t>
      </w:r>
    </w:p>
    <w:p>
      <w:pPr>
        <w:pStyle w:val="ListBullet"/>
        <w:spacing w:after="60"/>
        <w:ind w:left="259"/>
      </w:pPr>
      <w:r>
        <w:rPr>
          <w:rFonts w:ascii="Aptos" w:hAnsi="Aptos"/>
          <w:b w:val="0"/>
          <w:i w:val="0"/>
          <w:color w:val="14223D"/>
          <w:sz w:val="20"/>
        </w:rPr>
        <w:t>Rencontres avec des startups, chercheurs, ingénieurs, experts et exposants.</w:t>
      </w:r>
    </w:p>
    <w:p>
      <w:pPr>
        <w:pStyle w:val="ListBullet"/>
        <w:spacing w:after="60"/>
        <w:ind w:left="259"/>
      </w:pPr>
      <w:r>
        <w:rPr>
          <w:rFonts w:ascii="Aptos" w:hAnsi="Aptos"/>
          <w:b w:val="0"/>
          <w:i w:val="0"/>
          <w:color w:val="14223D"/>
          <w:sz w:val="20"/>
        </w:rPr>
        <w:t>Découverte de prototypes, métiers et usages de la deep tech.</w:t>
      </w:r>
    </w:p>
    <w:p>
      <w:pPr>
        <w:pStyle w:val="ListBullet"/>
        <w:spacing w:after="60"/>
        <w:ind w:left="259"/>
      </w:pPr>
      <w:r>
        <w:rPr>
          <w:rFonts w:ascii="Aptos" w:hAnsi="Aptos"/>
          <w:b w:val="0"/>
          <w:i w:val="0"/>
          <w:color w:val="14223D"/>
          <w:sz w:val="20"/>
        </w:rPr>
        <w:t>Parcours spécifiques pour des groupes scolaires, associations, clubs et structures jeunesse.</w:t>
      </w:r>
    </w:p>
    <w:p>
      <w:pPr>
        <w:pStyle w:val="ListBullet"/>
        <w:spacing w:after="60"/>
        <w:ind w:left="259"/>
      </w:pPr>
      <w:r>
        <w:rPr>
          <w:rFonts w:ascii="Aptos" w:hAnsi="Aptos"/>
          <w:b w:val="0"/>
          <w:i w:val="0"/>
          <w:color w:val="14223D"/>
          <w:sz w:val="20"/>
        </w:rPr>
        <w:t>Possibilité de venir en famille et de réserver des créneaux à l’avance.</w:t>
      </w:r>
    </w:p>
    <w:p>
      <w:r>
        <w:br w:type="page"/>
      </w:r>
    </w:p>
    <w:p>
      <w:pPr>
        <w:spacing w:before="180" w:after="60"/>
      </w:pPr>
      <w:r>
        <w:rPr>
          <w:rFonts w:ascii="Aptos" w:hAnsi="Aptos"/>
          <w:b/>
          <w:i w:val="0"/>
          <w:color w:val="28B8C5"/>
          <w:sz w:val="20"/>
        </w:rPr>
        <w:t xml:space="preserve">04  </w:t>
      </w:r>
      <w:r>
        <w:rPr>
          <w:rFonts w:ascii="Aptos" w:hAnsi="Aptos"/>
          <w:b/>
          <w:i w:val="0"/>
          <w:color w:val="071B45"/>
          <w:sz w:val="36"/>
        </w:rPr>
        <w:t>BNYA African Lab - Deep Tech Journey</w:t>
      </w:r>
    </w:p>
    <w:p>
      <w:pPr>
        <w:spacing w:after="160"/>
      </w:pPr>
      <w:r>
        <w:rPr>
          <w:rFonts w:ascii="Aptos" w:hAnsi="Aptos"/>
          <w:b w:val="0"/>
          <w:i w:val="0"/>
          <w:color w:val="63728B"/>
          <w:sz w:val="19"/>
        </w:rPr>
        <w:t>Un parcours panafricain de préparation, mentorat, expérimentation, documentation et convergence.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071B45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Participants</w:t>
            </w:r>
          </w:p>
        </w:tc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071B45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Cadre</w:t>
            </w:r>
          </w:p>
        </w:tc>
      </w:tr>
      <w:tr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FFFFFF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23D"/>
                <w:sz w:val="18"/>
              </w:rPr>
              <w:t>12–16 ans</w:t>
            </w:r>
          </w:p>
        </w:tc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FFFFFF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23D"/>
                <w:sz w:val="18"/>
              </w:rPr>
              <w:t>Équipes engagées sur un projet ou défi</w:t>
            </w:r>
          </w:p>
        </w:tc>
      </w:tr>
      <w:tr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F6FAFC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23D"/>
                <w:sz w:val="18"/>
              </w:rPr>
              <w:t>17–22 ans</w:t>
            </w:r>
          </w:p>
        </w:tc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F6FAFC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23D"/>
                <w:sz w:val="18"/>
              </w:rPr>
              <w:t>Équipes engagées sur un projet avancé</w:t>
            </w:r>
          </w:p>
        </w:tc>
      </w:tr>
      <w:tr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FFFFFF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23D"/>
                <w:sz w:val="18"/>
              </w:rPr>
              <w:t>Équipes</w:t>
            </w:r>
          </w:p>
        </w:tc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FFFFFF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23D"/>
                <w:sz w:val="18"/>
              </w:rPr>
              <w:t>11 maximum</w:t>
            </w:r>
          </w:p>
        </w:tc>
      </w:tr>
      <w:tr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F6FAFC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23D"/>
                <w:sz w:val="18"/>
              </w:rPr>
              <w:t>Répartition</w:t>
            </w:r>
          </w:p>
        </w:tc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F6FAFC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23D"/>
                <w:sz w:val="18"/>
              </w:rPr>
              <w:t>5 algériennes · 5 africaines · 1 diaspora algérienne internationale</w:t>
            </w:r>
          </w:p>
        </w:tc>
      </w:tr>
      <w:tr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FFFFFF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23D"/>
                <w:sz w:val="18"/>
              </w:rPr>
              <w:t>Taille</w:t>
            </w:r>
          </w:p>
        </w:tc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FFFFFF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23D"/>
                <w:sz w:val="18"/>
              </w:rPr>
              <w:t>3 jeunes maximum par équipe</w:t>
            </w:r>
          </w:p>
        </w:tc>
      </w:tr>
      <w:tr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F6FAFC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23D"/>
                <w:sz w:val="18"/>
              </w:rPr>
              <w:t>Capacité</w:t>
            </w:r>
          </w:p>
        </w:tc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F6FAFC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23D"/>
                <w:sz w:val="18"/>
              </w:rPr>
              <w:t>33 participants maximum</w:t>
            </w:r>
          </w:p>
        </w:tc>
      </w:tr>
    </w:tbl>
    <w:p>
      <w:pPr>
        <w:spacing w:before="180" w:after="60"/>
      </w:pPr>
      <w:r>
        <w:rPr>
          <w:rFonts w:ascii="Aptos" w:hAnsi="Aptos"/>
          <w:b/>
          <w:i w:val="0"/>
          <w:color w:val="28B8C5"/>
          <w:sz w:val="20"/>
        </w:rPr>
        <w:t xml:space="preserve">05  </w:t>
      </w:r>
      <w:r>
        <w:rPr>
          <w:rFonts w:ascii="Aptos" w:hAnsi="Aptos"/>
          <w:b/>
          <w:i w:val="0"/>
          <w:color w:val="071B45"/>
          <w:sz w:val="36"/>
        </w:rPr>
        <w:t>Le mois de préparation</w:t>
      </w:r>
    </w:p>
    <w:p>
      <w:pPr>
        <w:pStyle w:val="ListBullet"/>
        <w:spacing w:after="60"/>
        <w:ind w:left="259"/>
      </w:pPr>
      <w:r>
        <w:rPr>
          <w:rFonts w:ascii="Aptos" w:hAnsi="Aptos"/>
          <w:b w:val="0"/>
          <w:i w:val="0"/>
          <w:color w:val="14223D"/>
          <w:sz w:val="20"/>
        </w:rPr>
        <w:t>Challenge : choisir et cadrer un problème concret.</w:t>
      </w:r>
    </w:p>
    <w:p>
      <w:pPr>
        <w:pStyle w:val="ListBullet"/>
        <w:spacing w:after="60"/>
        <w:ind w:left="259"/>
      </w:pPr>
      <w:r>
        <w:rPr>
          <w:rFonts w:ascii="Aptos" w:hAnsi="Aptos"/>
          <w:b w:val="0"/>
          <w:i w:val="0"/>
          <w:color w:val="14223D"/>
          <w:sz w:val="20"/>
        </w:rPr>
        <w:t>Investigation : observer, rechercher, interroger et collecter des informations.</w:t>
      </w:r>
    </w:p>
    <w:p>
      <w:pPr>
        <w:pStyle w:val="ListBullet"/>
        <w:spacing w:after="60"/>
        <w:ind w:left="259"/>
      </w:pPr>
      <w:r>
        <w:rPr>
          <w:rFonts w:ascii="Aptos" w:hAnsi="Aptos"/>
          <w:b w:val="0"/>
          <w:i w:val="0"/>
          <w:color w:val="14223D"/>
          <w:sz w:val="20"/>
        </w:rPr>
        <w:t>Documentation : conserver les traces de la démarche et structurer le Project Journal.</w:t>
      </w:r>
    </w:p>
    <w:p>
      <w:pPr>
        <w:pStyle w:val="ListBullet"/>
        <w:spacing w:after="60"/>
        <w:ind w:left="259"/>
      </w:pPr>
      <w:r>
        <w:rPr>
          <w:rFonts w:ascii="Aptos" w:hAnsi="Aptos"/>
          <w:b w:val="0"/>
          <w:i w:val="0"/>
          <w:color w:val="14223D"/>
          <w:sz w:val="20"/>
        </w:rPr>
        <w:t>Hypothèse : formuler une piste de solution ou une question à vérifier.</w:t>
      </w:r>
    </w:p>
    <w:p>
      <w:pPr>
        <w:pStyle w:val="ListBullet"/>
        <w:spacing w:after="60"/>
        <w:ind w:left="259"/>
      </w:pPr>
      <w:r>
        <w:rPr>
          <w:rFonts w:ascii="Aptos" w:hAnsi="Aptos"/>
          <w:b w:val="0"/>
          <w:i w:val="0"/>
          <w:color w:val="14223D"/>
          <w:sz w:val="20"/>
        </w:rPr>
        <w:t>Expérimentation : tester, prototyper, mesurer, corriger et itérer.</w:t>
      </w:r>
    </w:p>
    <w:p>
      <w:pPr>
        <w:pStyle w:val="ListBullet"/>
        <w:spacing w:after="60"/>
        <w:ind w:left="259"/>
      </w:pPr>
      <w:r>
        <w:rPr>
          <w:rFonts w:ascii="Aptos" w:hAnsi="Aptos"/>
          <w:b w:val="0"/>
          <w:i w:val="0"/>
          <w:color w:val="14223D"/>
          <w:sz w:val="20"/>
        </w:rPr>
        <w:t>Connexion : partager les apprentissages et identifier les complémentarités entre équipes.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071B45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Livrables</w:t>
            </w:r>
          </w:p>
        </w:tc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071B45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Contenu</w:t>
            </w:r>
          </w:p>
        </w:tc>
      </w:tr>
      <w:tr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FFFFFF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23D"/>
                <w:sz w:val="18"/>
              </w:rPr>
              <w:t>Problem Brief</w:t>
            </w:r>
          </w:p>
        </w:tc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FFFFFF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23D"/>
                <w:sz w:val="18"/>
              </w:rPr>
              <w:t>Problème, contexte et public concerné</w:t>
            </w:r>
          </w:p>
        </w:tc>
      </w:tr>
      <w:tr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F6FAFC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23D"/>
                <w:sz w:val="18"/>
              </w:rPr>
              <w:t>Project Journal</w:t>
            </w:r>
          </w:p>
        </w:tc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F6FAFC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23D"/>
                <w:sz w:val="18"/>
              </w:rPr>
              <w:t>Journal de bord du parcours</w:t>
            </w:r>
          </w:p>
        </w:tc>
      </w:tr>
      <w:tr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FFFFFF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23D"/>
                <w:sz w:val="18"/>
              </w:rPr>
              <w:t>Capsules vidéo</w:t>
            </w:r>
          </w:p>
        </w:tc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FFFFFF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23D"/>
                <w:sz w:val="18"/>
              </w:rPr>
              <w:t>Documentation courte de l’évolution du projet</w:t>
            </w:r>
          </w:p>
        </w:tc>
      </w:tr>
      <w:tr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F6FAFC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23D"/>
                <w:sz w:val="18"/>
              </w:rPr>
              <w:t>Hypothèse</w:t>
            </w:r>
          </w:p>
        </w:tc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F6FAFC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23D"/>
                <w:sz w:val="18"/>
              </w:rPr>
              <w:t>Question ou piste argumentée</w:t>
            </w:r>
          </w:p>
        </w:tc>
      </w:tr>
      <w:tr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FFFFFF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23D"/>
                <w:sz w:val="18"/>
              </w:rPr>
              <w:t>Prototype / POC</w:t>
            </w:r>
          </w:p>
        </w:tc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FFFFFF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23D"/>
                <w:sz w:val="18"/>
              </w:rPr>
              <w:t>Maquette, démonstrateur ou expérience</w:t>
            </w:r>
          </w:p>
        </w:tc>
      </w:tr>
      <w:tr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F6FAFC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23D"/>
                <w:sz w:val="18"/>
              </w:rPr>
              <w:t>Résultats / preuves</w:t>
            </w:r>
          </w:p>
        </w:tc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F6FAFC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23D"/>
                <w:sz w:val="18"/>
              </w:rPr>
              <w:t>Tests, données, observations, limites</w:t>
            </w:r>
          </w:p>
        </w:tc>
      </w:tr>
      <w:tr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FFFFFF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23D"/>
                <w:sz w:val="18"/>
              </w:rPr>
              <w:t>WE NEED / WE CAN SHARE</w:t>
            </w:r>
          </w:p>
        </w:tc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FFFFFF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23D"/>
                <w:sz w:val="18"/>
              </w:rPr>
              <w:t>Besoins et contributions possibles</w:t>
            </w:r>
          </w:p>
        </w:tc>
      </w:tr>
    </w:tbl>
    <w:p>
      <w:r>
        <w:br w:type="page"/>
      </w:r>
    </w:p>
    <w:p>
      <w:pPr>
        <w:spacing w:before="180" w:after="60"/>
      </w:pPr>
      <w:r>
        <w:rPr>
          <w:rFonts w:ascii="Aptos" w:hAnsi="Aptos"/>
          <w:b/>
          <w:i w:val="0"/>
          <w:color w:val="28B8C5"/>
          <w:sz w:val="20"/>
        </w:rPr>
        <w:t xml:space="preserve">06  </w:t>
      </w:r>
      <w:r>
        <w:rPr>
          <w:rFonts w:ascii="Aptos" w:hAnsi="Aptos"/>
          <w:b/>
          <w:i w:val="0"/>
          <w:color w:val="071B45"/>
          <w:sz w:val="36"/>
        </w:rPr>
        <w:t>Les trois jours à l’ASC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071B45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Date</w:t>
            </w:r>
          </w:p>
        </w:tc>
        <w:tc>
          <w:tcPr>
            <w:tcW w:type="dxa" w:w="3456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071B45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Intention</w:t>
            </w:r>
          </w:p>
        </w:tc>
        <w:tc>
          <w:tcPr>
            <w:tcW w:type="dxa" w:w="3456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071B45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Contenu</w:t>
            </w:r>
          </w:p>
        </w:tc>
      </w:tr>
      <w:tr>
        <w:tc>
          <w:tcPr>
            <w:tcW w:type="dxa" w:w="3456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FFFFFF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23D"/>
                <w:sz w:val="18"/>
              </w:rPr>
              <w:t>5 décembre</w:t>
            </w:r>
          </w:p>
        </w:tc>
        <w:tc>
          <w:tcPr>
            <w:tcW w:type="dxa" w:w="3456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FFFFFF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23D"/>
                <w:sz w:val="18"/>
              </w:rPr>
              <w:t>CONNECTER</w:t>
            </w:r>
          </w:p>
        </w:tc>
        <w:tc>
          <w:tcPr>
            <w:tcW w:type="dxa" w:w="3456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FFFFFF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23D"/>
                <w:sz w:val="18"/>
              </w:rPr>
              <w:t>Accueil, mentors dès l’arrivée, immersion dans l’ASC, diagnostic, challenge des projets et rencontres.</w:t>
            </w:r>
          </w:p>
        </w:tc>
      </w:tr>
      <w:tr>
        <w:tc>
          <w:tcPr>
            <w:tcW w:type="dxa" w:w="3456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F6FAFC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23D"/>
                <w:sz w:val="18"/>
              </w:rPr>
              <w:t>6 décembre</w:t>
            </w:r>
          </w:p>
        </w:tc>
        <w:tc>
          <w:tcPr>
            <w:tcW w:type="dxa" w:w="3456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F6FAFC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23D"/>
                <w:sz w:val="18"/>
              </w:rPr>
              <w:t>APPROFONDIR</w:t>
            </w:r>
          </w:p>
        </w:tc>
        <w:tc>
          <w:tcPr>
            <w:tcW w:type="dxa" w:w="3456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F6FAFC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23D"/>
                <w:sz w:val="18"/>
              </w:rPr>
              <w:t>Deep Tech Clinics, mentorat personnalisé, conférences ciblées, amélioration du projet et coaching de restitution.</w:t>
            </w:r>
          </w:p>
        </w:tc>
      </w:tr>
      <w:tr>
        <w:tc>
          <w:tcPr>
            <w:tcW w:type="dxa" w:w="3456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FFFFFF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23D"/>
                <w:sz w:val="18"/>
              </w:rPr>
              <w:t>7 décembre</w:t>
            </w:r>
          </w:p>
        </w:tc>
        <w:tc>
          <w:tcPr>
            <w:tcW w:type="dxa" w:w="3456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FFFFFF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23D"/>
                <w:sz w:val="18"/>
              </w:rPr>
              <w:t>CONVERGER</w:t>
            </w:r>
          </w:p>
        </w:tc>
        <w:tc>
          <w:tcPr>
            <w:tcW w:type="dxa" w:w="3456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FFFFFF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23D"/>
                <w:sz w:val="18"/>
              </w:rPr>
              <w:t>Finalisation, restitution, BNYA Convergence, mise en relation et prochaines étapes.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EAF8F9"/>
            <w:tcBorders>
              <w:top w:val="single" w:sz="6" w:color="28B8C5"/>
              <w:left w:val="single" w:sz="6" w:color="28B8C5"/>
              <w:bottom w:val="single" w:sz="6" w:color="28B8C5"/>
              <w:right w:val="single" w:sz="6" w:color="28B8C5"/>
              <w:insideH w:val="single" w:sz="6" w:color="28B8C5"/>
              <w:insideV w:val="single" w:sz="6" w:color="28B8C5"/>
            </w:tcBorders>
            <w:tcMar>
              <w:top w:w="150" w:type="dxa"/>
              <w:start w:w="170" w:type="dxa"/>
              <w:bottom w:w="150" w:type="dxa"/>
              <w:end w:w="170" w:type="dxa"/>
            </w:tcMar>
          </w:tcPr>
          <w:p>
            <w:r>
              <w:rPr>
                <w:rFonts w:ascii="Aptos" w:hAnsi="Aptos"/>
                <w:b/>
                <w:i w:val="0"/>
                <w:color w:val="071B45"/>
                <w:sz w:val="21"/>
              </w:rPr>
              <w:t xml:space="preserve">Co-opétition  </w:t>
            </w:r>
            <w:r>
              <w:rPr>
                <w:rFonts w:ascii="Aptos" w:hAnsi="Aptos"/>
                <w:b w:val="0"/>
                <w:i w:val="0"/>
                <w:color w:val="14223D"/>
                <w:sz w:val="20"/>
              </w:rPr>
              <w:t>Les équipes conservent leur identité et leur projet tout en partageant leurs apprentissages, besoins et ressources. La restitution finale privilégie l’amélioration, les complémentarités et la création de connexions utiles.</w:t>
            </w:r>
          </w:p>
        </w:tc>
      </w:tr>
    </w:tbl>
    <w:p>
      <w:pPr>
        <w:spacing w:before="180" w:after="60"/>
      </w:pPr>
      <w:r>
        <w:rPr>
          <w:rFonts w:ascii="Aptos" w:hAnsi="Aptos"/>
          <w:b/>
          <w:i w:val="0"/>
          <w:color w:val="28B8C5"/>
          <w:sz w:val="20"/>
        </w:rPr>
        <w:t xml:space="preserve">07  </w:t>
      </w:r>
      <w:r>
        <w:rPr>
          <w:rFonts w:ascii="Aptos" w:hAnsi="Aptos"/>
          <w:b/>
          <w:i w:val="0"/>
          <w:color w:val="071B45"/>
          <w:sz w:val="36"/>
        </w:rPr>
        <w:t>BNYA Studio</w:t>
      </w:r>
    </w:p>
    <w:p>
      <w:pPr>
        <w:pStyle w:val="ListBullet"/>
        <w:spacing w:after="60"/>
        <w:ind w:left="259"/>
      </w:pPr>
      <w:r>
        <w:rPr>
          <w:rFonts w:ascii="Aptos" w:hAnsi="Aptos"/>
          <w:b w:val="0"/>
          <w:i w:val="0"/>
          <w:color w:val="14223D"/>
          <w:sz w:val="20"/>
        </w:rPr>
        <w:t>Interviews de jeunes, mentors, chercheurs, startups et partenaires.</w:t>
      </w:r>
    </w:p>
    <w:p>
      <w:pPr>
        <w:pStyle w:val="ListBullet"/>
        <w:spacing w:after="60"/>
        <w:ind w:left="259"/>
      </w:pPr>
      <w:r>
        <w:rPr>
          <w:rFonts w:ascii="Aptos" w:hAnsi="Aptos"/>
          <w:b w:val="0"/>
          <w:i w:val="0"/>
          <w:color w:val="14223D"/>
          <w:sz w:val="20"/>
        </w:rPr>
        <w:t>Reportages au sein des ateliers, du Lab et de l’ASC.</w:t>
      </w:r>
    </w:p>
    <w:p>
      <w:pPr>
        <w:pStyle w:val="ListBullet"/>
        <w:spacing w:after="60"/>
        <w:ind w:left="259"/>
      </w:pPr>
      <w:r>
        <w:rPr>
          <w:rFonts w:ascii="Aptos" w:hAnsi="Aptos"/>
          <w:b w:val="0"/>
          <w:i w:val="0"/>
          <w:color w:val="14223D"/>
          <w:sz w:val="20"/>
        </w:rPr>
        <w:t>Journal BNYA et formats éditoriaux programmés.</w:t>
      </w:r>
    </w:p>
    <w:p>
      <w:pPr>
        <w:pStyle w:val="ListBullet"/>
        <w:spacing w:after="60"/>
        <w:ind w:left="259"/>
      </w:pPr>
      <w:r>
        <w:rPr>
          <w:rFonts w:ascii="Aptos" w:hAnsi="Aptos"/>
          <w:b w:val="0"/>
          <w:i w:val="0"/>
          <w:color w:val="14223D"/>
          <w:sz w:val="20"/>
        </w:rPr>
        <w:t>Capsules éducatives, métiers et projets.</w:t>
      </w:r>
    </w:p>
    <w:p>
      <w:pPr>
        <w:pStyle w:val="ListBullet"/>
        <w:spacing w:after="60"/>
        <w:ind w:left="259"/>
      </w:pPr>
      <w:r>
        <w:rPr>
          <w:rFonts w:ascii="Aptos" w:hAnsi="Aptos"/>
          <w:b w:val="0"/>
          <w:i w:val="0"/>
          <w:color w:val="14223D"/>
          <w:sz w:val="20"/>
        </w:rPr>
        <w:t>Contenus pour l’application BNYA, les réseaux sociaux et les formats futurs.</w:t>
      </w:r>
    </w:p>
    <w:p>
      <w:pPr>
        <w:pStyle w:val="ListBullet"/>
        <w:spacing w:after="60"/>
        <w:ind w:left="259"/>
      </w:pPr>
      <w:r>
        <w:rPr>
          <w:rFonts w:ascii="Aptos" w:hAnsi="Aptos"/>
          <w:b w:val="0"/>
          <w:i w:val="0"/>
          <w:color w:val="14223D"/>
          <w:sz w:val="20"/>
        </w:rPr>
        <w:t>Mémoire audiovisuelle des apprentissages et des trajectoires de projets.</w:t>
      </w:r>
    </w:p>
    <w:p>
      <w:pPr>
        <w:spacing w:before="180" w:after="60"/>
      </w:pPr>
      <w:r>
        <w:rPr>
          <w:rFonts w:ascii="Aptos" w:hAnsi="Aptos"/>
          <w:b/>
          <w:i w:val="0"/>
          <w:color w:val="28B8C5"/>
          <w:sz w:val="20"/>
        </w:rPr>
        <w:t xml:space="preserve">08  </w:t>
      </w:r>
      <w:r>
        <w:rPr>
          <w:rFonts w:ascii="Aptos" w:hAnsi="Aptos"/>
          <w:b/>
          <w:i w:val="0"/>
          <w:color w:val="071B45"/>
          <w:sz w:val="36"/>
        </w:rPr>
        <w:t>Restitution, valorisation et suites</w:t>
      </w:r>
    </w:p>
    <w:p>
      <w:pPr>
        <w:pStyle w:val="ListBullet"/>
        <w:spacing w:after="60"/>
        <w:ind w:left="259"/>
      </w:pPr>
      <w:r>
        <w:rPr>
          <w:rFonts w:ascii="Aptos" w:hAnsi="Aptos"/>
          <w:b w:val="0"/>
          <w:i w:val="0"/>
          <w:color w:val="14223D"/>
          <w:sz w:val="20"/>
        </w:rPr>
        <w:t>Ateliers : réalisation, trace de l’activité et mini-portfolio lorsque plusieurs activités sont suivies.</w:t>
      </w:r>
    </w:p>
    <w:p>
      <w:pPr>
        <w:pStyle w:val="ListBullet"/>
        <w:spacing w:after="60"/>
        <w:ind w:left="259"/>
      </w:pPr>
      <w:r>
        <w:rPr>
          <w:rFonts w:ascii="Aptos" w:hAnsi="Aptos"/>
          <w:b w:val="0"/>
          <w:i w:val="0"/>
          <w:color w:val="14223D"/>
          <w:sz w:val="20"/>
        </w:rPr>
        <w:t>African Lab : Project Package, prototype/POC, documentation, résultats et prochaines étapes.</w:t>
      </w:r>
    </w:p>
    <w:p>
      <w:pPr>
        <w:pStyle w:val="ListBullet"/>
        <w:spacing w:after="60"/>
        <w:ind w:left="259"/>
      </w:pPr>
      <w:r>
        <w:rPr>
          <w:rFonts w:ascii="Aptos" w:hAnsi="Aptos"/>
          <w:b w:val="0"/>
          <w:i w:val="0"/>
          <w:color w:val="14223D"/>
          <w:sz w:val="20"/>
        </w:rPr>
        <w:t>BNYA Convergence : présentation de la démarche, des apprentissages, des besoins et des contributions possibles.</w:t>
      </w:r>
    </w:p>
    <w:p>
      <w:pPr>
        <w:pStyle w:val="ListBullet"/>
        <w:spacing w:after="60"/>
        <w:ind w:left="259"/>
      </w:pPr>
      <w:r>
        <w:rPr>
          <w:rFonts w:ascii="Aptos" w:hAnsi="Aptos"/>
          <w:b w:val="0"/>
          <w:i w:val="0"/>
          <w:color w:val="14223D"/>
          <w:sz w:val="20"/>
        </w:rPr>
        <w:t>Panel d’orientation : experts, startups, chercheurs, institutions, laboratoires et mentors.</w:t>
      </w:r>
    </w:p>
    <w:p>
      <w:pPr>
        <w:pStyle w:val="ListBullet"/>
        <w:spacing w:after="60"/>
        <w:ind w:left="259"/>
      </w:pPr>
      <w:r>
        <w:rPr>
          <w:rFonts w:ascii="Aptos" w:hAnsi="Aptos"/>
          <w:b w:val="0"/>
          <w:i w:val="0"/>
          <w:color w:val="14223D"/>
          <w:sz w:val="20"/>
        </w:rPr>
        <w:t>J+7 : capitalisation des contenus et productions.</w:t>
      </w:r>
    </w:p>
    <w:p>
      <w:pPr>
        <w:pStyle w:val="ListBullet"/>
        <w:spacing w:after="60"/>
        <w:ind w:left="259"/>
      </w:pPr>
      <w:r>
        <w:rPr>
          <w:rFonts w:ascii="Aptos" w:hAnsi="Aptos"/>
          <w:b w:val="0"/>
          <w:i w:val="0"/>
          <w:color w:val="14223D"/>
          <w:sz w:val="20"/>
        </w:rPr>
        <w:t>J+30 : feedback et suivi des connexions.</w:t>
      </w:r>
    </w:p>
    <w:p>
      <w:pPr>
        <w:pStyle w:val="ListBullet"/>
        <w:spacing w:after="60"/>
        <w:ind w:left="259"/>
      </w:pPr>
      <w:r>
        <w:rPr>
          <w:rFonts w:ascii="Aptos" w:hAnsi="Aptos"/>
          <w:b w:val="0"/>
          <w:i w:val="0"/>
          <w:color w:val="14223D"/>
          <w:sz w:val="20"/>
        </w:rPr>
        <w:t>J+60 / J+90 : suivi ciblé des projets et collaborations qui doivent se poursuivre.</w:t>
      </w:r>
    </w:p>
    <w:p>
      <w:r>
        <w:br w:type="page"/>
      </w:r>
    </w:p>
    <w:p>
      <w:pPr>
        <w:spacing w:before="180" w:after="60"/>
      </w:pPr>
      <w:r>
        <w:rPr>
          <w:rFonts w:ascii="Aptos" w:hAnsi="Aptos"/>
          <w:b/>
          <w:i w:val="0"/>
          <w:color w:val="28B8C5"/>
          <w:sz w:val="20"/>
        </w:rPr>
        <w:t xml:space="preserve">09  </w:t>
      </w:r>
      <w:r>
        <w:rPr>
          <w:rFonts w:ascii="Aptos" w:hAnsi="Aptos"/>
          <w:b/>
          <w:i w:val="0"/>
          <w:color w:val="071B45"/>
          <w:sz w:val="36"/>
        </w:rPr>
        <w:t>Résultats attendus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071B45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Pour</w:t>
            </w:r>
          </w:p>
        </w:tc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071B45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Résultats</w:t>
            </w:r>
          </w:p>
        </w:tc>
      </w:tr>
      <w:tr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FFFFFF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23D"/>
                <w:sz w:val="18"/>
              </w:rPr>
              <w:t>Les jeunes</w:t>
            </w:r>
          </w:p>
        </w:tc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FFFFFF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23D"/>
                <w:sz w:val="18"/>
              </w:rPr>
              <w:t>Découverte, compétences, réalisations, orientation, réseau et confiance dans l’action.</w:t>
            </w:r>
          </w:p>
        </w:tc>
      </w:tr>
      <w:tr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F6FAFC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23D"/>
                <w:sz w:val="18"/>
              </w:rPr>
              <w:t>Les équipes du Lab</w:t>
            </w:r>
          </w:p>
        </w:tc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F6FAFC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23D"/>
                <w:sz w:val="18"/>
              </w:rPr>
              <w:t>Projet mieux structuré, prototype, retours, documentation, partenaires potentiels et prochaines étapes.</w:t>
            </w:r>
          </w:p>
        </w:tc>
      </w:tr>
      <w:tr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FFFFFF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23D"/>
                <w:sz w:val="18"/>
              </w:rPr>
              <w:t>L’écosystème</w:t>
            </w:r>
          </w:p>
        </w:tc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FFFFFF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23D"/>
                <w:sz w:val="18"/>
              </w:rPr>
              <w:t>Identification de talents, transmission intergénérationnelle, liens entre éducation, recherche, startups et innovation.</w:t>
            </w:r>
          </w:p>
        </w:tc>
      </w:tr>
      <w:tr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F6FAFC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23D"/>
                <w:sz w:val="18"/>
              </w:rPr>
              <w:t>L’ASC</w:t>
            </w:r>
          </w:p>
        </w:tc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F6FAFC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23D"/>
                <w:sz w:val="18"/>
              </w:rPr>
              <w:t>Un espace jeunesse visible, familial et connecté à la thématique deep tech, avec une mémoire et des résultats réutilisables.</w:t>
            </w:r>
          </w:p>
        </w:tc>
      </w:tr>
      <w:tr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FFFFFF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23D"/>
                <w:sz w:val="18"/>
              </w:rPr>
              <w:t>BNYA / KEYBOX / Young Creators</w:t>
            </w:r>
          </w:p>
        </w:tc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9E7EE"/>
              <w:left w:val="single" w:sz="4" w:color="D9E7EE"/>
              <w:bottom w:val="single" w:sz="4" w:color="D9E7EE"/>
              <w:right w:val="single" w:sz="4" w:color="D9E7EE"/>
              <w:insideH w:val="single" w:sz="4" w:color="D9E7EE"/>
              <w:insideV w:val="single" w:sz="4" w:color="D9E7EE"/>
            </w:tcBorders>
            <w:vAlign w:val="center"/>
            <w:shd w:fill="FFFFFF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4223D"/>
                <w:sz w:val="18"/>
              </w:rPr>
              <w:t>Ressources pédagogiques, contenus, retours d’expérience et communauté de jeunes talents à faire grandir.</w:t>
            </w:r>
          </w:p>
        </w:tc>
      </w:tr>
    </w:tbl>
    <w:p>
      <w:pPr>
        <w:spacing w:before="180" w:after="60"/>
      </w:pPr>
      <w:r>
        <w:rPr>
          <w:rFonts w:ascii="Aptos" w:hAnsi="Aptos"/>
          <w:b/>
          <w:i w:val="0"/>
          <w:color w:val="28B8C5"/>
          <w:sz w:val="20"/>
        </w:rPr>
        <w:t xml:space="preserve">10  </w:t>
      </w:r>
      <w:r>
        <w:rPr>
          <w:rFonts w:ascii="Aptos" w:hAnsi="Aptos"/>
          <w:b/>
          <w:i w:val="0"/>
          <w:color w:val="071B45"/>
          <w:sz w:val="36"/>
        </w:rPr>
        <w:t>Synthèse</w:t>
      </w:r>
    </w:p>
    <w:p>
      <w:pPr>
        <w:spacing w:before="200" w:after="80"/>
        <w:jc w:val="center"/>
      </w:pPr>
      <w:r>
        <w:rPr>
          <w:rFonts w:ascii="Aptos" w:hAnsi="Aptos"/>
          <w:b/>
          <w:i w:val="0"/>
          <w:color w:val="071B45"/>
          <w:sz w:val="26"/>
        </w:rPr>
        <w:t>DÉCOUVRIR  →  EXPÉRIMENTER  →  DOCUMENTER  →  CONNECTER  →  RESTITUER  →  CONTINUER</w:t>
      </w:r>
    </w:p>
    <w:p>
      <w:pPr>
        <w:jc w:val="center"/>
      </w:pPr>
      <w:r>
        <w:rPr>
          <w:rFonts w:ascii="Aptos" w:hAnsi="Aptos"/>
          <w:b/>
          <w:i w:val="0"/>
          <w:color w:val="28B8C5"/>
          <w:sz w:val="20"/>
        </w:rPr>
        <w:t>BNYA Youth &amp; Deep Tech Space · asc2026.bnya.dz</w:t>
      </w:r>
    </w:p>
    <w:sectPr>
      <w:headerReference w:type="default" r:id="rId9"/>
      <w:footerReference w:type="default" r:id="rId11"/>
      <w:pgSz w:w="12240" w:h="15840"/>
      <w:pgMar w:top="792" w:right="936" w:bottom="720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i w:val="0"/>
        <w:color w:val="63728B"/>
        <w:sz w:val="16"/>
      </w:rPr>
      <w:t>BNYA Youth &amp; Deep Tech Space · KEYBOX × Young Creators · ASC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</w:tblPr>
    <w:tblGrid>
      <w:gridCol w:w="8352"/>
      <w:gridCol w:w="1728"/>
    </w:tblGrid>
    <w:tr>
      <w:tc>
        <w:tcPr>
          <w:tcW w:type="dxa" w:w="5040"/>
          <w:shd w:fill="071B45"/>
          <w:tcMar>
            <w:top w:w="110" w:type="dxa"/>
            <w:start w:w="140" w:type="dxa"/>
            <w:bottom w:w="110" w:type="dxa"/>
            <w:end w:w="140" w:type="dxa"/>
          </w:tcMar>
        </w:tcPr>
        <w:p>
          <w:r>
            <w:rPr>
              <w:rFonts w:ascii="Aptos" w:hAnsi="Aptos"/>
              <w:b/>
              <w:i w:val="0"/>
              <w:color w:val="FFFFFF"/>
              <w:sz w:val="23"/>
            </w:rPr>
            <w:t>BNYA YOUTH &amp; DEEP TECH SPACE</w:t>
          </w:r>
        </w:p>
        <w:p>
          <w:r>
            <w:rPr>
              <w:rFonts w:ascii="Aptos" w:hAnsi="Aptos"/>
              <w:b w:val="0"/>
              <w:i w:val="0"/>
              <w:color w:val="BFD0E2"/>
              <w:sz w:val="17"/>
            </w:rPr>
            <w:t>African Startup Conference 2026 · Alger · 5–7 décembre</w:t>
          </w:r>
        </w:p>
      </w:tc>
      <w:tc>
        <w:tcPr>
          <w:tcW w:type="dxa" w:w="5040"/>
          <w:shd w:fill="071B45"/>
          <w:tcMar>
            <w:top w:w="80" w:type="dxa"/>
            <w:start w:w="80" w:type="dxa"/>
            <w:bottom w:w="80" w:type="dxa"/>
            <w:end w:w="80" w:type="dxa"/>
          </w:tcMar>
        </w:tcPr>
        <w:p>
          <w:pPr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384048" cy="531439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bnya-mar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048" cy="531439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4223D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image" Target="media/image2.png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